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rPr>
      </w:pPr>
      <w:r>
        <w:rPr>
          <w:rFonts w:hint="eastAsia"/>
          <w:sz w:val="32"/>
          <w:szCs w:val="32"/>
        </w:rPr>
        <w:t>附件12</w:t>
      </w:r>
    </w:p>
    <w:p>
      <w:pPr>
        <w:jc w:val="center"/>
        <w:rPr>
          <w:rFonts w:hint="eastAsia"/>
          <w:sz w:val="44"/>
          <w:szCs w:val="44"/>
        </w:rPr>
      </w:pPr>
    </w:p>
    <w:p>
      <w:pPr>
        <w:widowControl/>
        <w:spacing w:line="580" w:lineRule="exact"/>
        <w:jc w:val="center"/>
        <w:rPr>
          <w:rFonts w:hint="eastAsia" w:ascii="黑体" w:hAnsi="黑体" w:eastAsia="黑体" w:cs="黑体"/>
          <w:sz w:val="44"/>
          <w:szCs w:val="44"/>
        </w:rPr>
      </w:pPr>
      <w:r>
        <w:rPr>
          <w:rFonts w:hint="eastAsia" w:ascii="黑体" w:hAnsi="黑体" w:eastAsia="黑体" w:cs="黑体"/>
          <w:sz w:val="44"/>
          <w:szCs w:val="44"/>
        </w:rPr>
        <w:t>2024年湖南省普通本科高校教育教学改革</w:t>
      </w:r>
    </w:p>
    <w:p>
      <w:pPr>
        <w:widowControl/>
        <w:spacing w:line="580" w:lineRule="exact"/>
        <w:jc w:val="center"/>
        <w:rPr>
          <w:rFonts w:hint="eastAsia" w:ascii="黑体" w:hAnsi="黑体" w:eastAsia="黑体" w:cs="黑体"/>
          <w:sz w:val="44"/>
          <w:szCs w:val="44"/>
        </w:rPr>
      </w:pPr>
      <w:r>
        <w:rPr>
          <w:rFonts w:hint="eastAsia" w:ascii="黑体" w:hAnsi="黑体" w:eastAsia="黑体" w:cs="黑体"/>
          <w:sz w:val="44"/>
          <w:szCs w:val="44"/>
        </w:rPr>
        <w:t>典型项目成果简介</w:t>
      </w:r>
    </w:p>
    <w:p>
      <w:pPr>
        <w:jc w:val="left"/>
        <w:rPr>
          <w:rFonts w:hint="eastAsia"/>
          <w:sz w:val="32"/>
          <w:szCs w:val="32"/>
        </w:rPr>
      </w:pPr>
    </w:p>
    <w:p>
      <w:pPr>
        <w:ind w:left="1600" w:hanging="1600" w:hangingChars="500"/>
        <w:jc w:val="left"/>
        <w:rPr>
          <w:rFonts w:hint="eastAsia"/>
          <w:sz w:val="32"/>
          <w:szCs w:val="32"/>
        </w:rPr>
      </w:pPr>
      <w:r>
        <w:rPr>
          <w:rFonts w:hint="eastAsia"/>
          <w:sz w:val="32"/>
          <w:szCs w:val="32"/>
        </w:rPr>
        <w:t>项目名称：课程思政视阈下“四维三链一体”教学模式研究——以音视频制作课为例</w:t>
      </w:r>
    </w:p>
    <w:p>
      <w:pPr>
        <w:jc w:val="left"/>
        <w:rPr>
          <w:rFonts w:hint="default" w:eastAsia="宋体"/>
          <w:sz w:val="32"/>
          <w:szCs w:val="32"/>
          <w:lang w:val="en-US" w:eastAsia="zh-CN"/>
        </w:rPr>
      </w:pPr>
      <w:r>
        <w:rPr>
          <w:rFonts w:hint="eastAsia"/>
          <w:sz w:val="32"/>
          <w:szCs w:val="32"/>
        </w:rPr>
        <w:t>单位名称：</w:t>
      </w:r>
      <w:r>
        <w:rPr>
          <w:rFonts w:hint="eastAsia"/>
          <w:sz w:val="32"/>
          <w:szCs w:val="32"/>
          <w:lang w:val="en-US" w:eastAsia="zh-CN"/>
        </w:rPr>
        <w:t>湖南工商大学</w:t>
      </w:r>
    </w:p>
    <w:p>
      <w:pPr>
        <w:jc w:val="left"/>
        <w:rPr>
          <w:rFonts w:hint="default" w:eastAsia="宋体"/>
          <w:sz w:val="32"/>
          <w:szCs w:val="32"/>
          <w:lang w:val="en-US" w:eastAsia="zh-CN"/>
        </w:rPr>
      </w:pPr>
      <w:r>
        <w:rPr>
          <w:rFonts w:hint="eastAsia"/>
          <w:sz w:val="32"/>
          <w:szCs w:val="32"/>
        </w:rPr>
        <w:t>项目主持人：</w:t>
      </w:r>
      <w:r>
        <w:rPr>
          <w:rFonts w:hint="eastAsia"/>
          <w:sz w:val="32"/>
          <w:szCs w:val="32"/>
          <w:lang w:val="en-US" w:eastAsia="zh-CN"/>
        </w:rPr>
        <w:t>张青</w:t>
      </w:r>
    </w:p>
    <w:p>
      <w:pPr>
        <w:jc w:val="left"/>
        <w:rPr>
          <w:rFonts w:hint="eastAsia"/>
          <w:sz w:val="32"/>
          <w:szCs w:val="32"/>
        </w:rPr>
      </w:pPr>
      <w:r>
        <w:rPr>
          <w:rFonts w:hint="eastAsia"/>
          <w:sz w:val="32"/>
          <w:szCs w:val="32"/>
        </w:rPr>
        <w:t>团队成员：金赛美、易玉梅、曹秋菊、刘智</w:t>
      </w:r>
    </w:p>
    <w:p>
      <w:pPr>
        <w:jc w:val="left"/>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jc w:val="left"/>
        <w:rPr>
          <w:rFonts w:hint="eastAsia"/>
          <w:sz w:val="32"/>
          <w:szCs w:val="32"/>
        </w:rPr>
      </w:pPr>
    </w:p>
    <w:p>
      <w:pPr>
        <w:pStyle w:val="2"/>
        <w:rPr>
          <w:rFonts w:hint="eastAsia"/>
        </w:rPr>
      </w:pPr>
    </w:p>
    <w:p>
      <w:pPr>
        <w:numPr>
          <w:ilvl w:val="0"/>
          <w:numId w:val="1"/>
        </w:numPr>
        <w:jc w:val="left"/>
        <w:rPr>
          <w:rFonts w:hint="eastAsia"/>
          <w:sz w:val="32"/>
          <w:szCs w:val="32"/>
        </w:rPr>
      </w:pPr>
      <w:r>
        <w:rPr>
          <w:rFonts w:hint="eastAsia"/>
          <w:sz w:val="32"/>
          <w:szCs w:val="32"/>
        </w:rPr>
        <w:t>项目研究背景</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宋体" w:hAnsi="宋体" w:eastAsia="宋体" w:cs="宋体"/>
          <w:sz w:val="24"/>
          <w:szCs w:val="24"/>
          <w:lang w:val="en-US" w:eastAsia="zh-CN"/>
        </w:rPr>
      </w:pPr>
      <w:r>
        <w:rPr>
          <w:rFonts w:hint="eastAsia"/>
          <w:sz w:val="24"/>
          <w:szCs w:val="24"/>
          <w:lang w:val="en-US" w:eastAsia="zh-CN"/>
        </w:rPr>
        <w:t xml:space="preserve">    </w:t>
      </w:r>
      <w:r>
        <w:rPr>
          <w:rFonts w:hint="eastAsia" w:ascii="宋体" w:hAnsi="宋体" w:eastAsia="宋体" w:cs="宋体"/>
          <w:sz w:val="24"/>
          <w:szCs w:val="24"/>
          <w:lang w:val="en-US" w:eastAsia="zh-CN"/>
        </w:rPr>
        <w:t>2016 年，习近平总书记在全国高校思想政治工作会议上强调，高校立身之本在于立德树人，要坚持把立德树人作为中心环节，把思想政治工作贯穿教育教学全过程，实现全程育人、全方位育人。为此，当代高校需大力建设课程思政，把思政教育融入专业课程，同时挖掘出各类专业课程中的思想政治教育元素，使其贯穿在整个教学活动过程中，形成教育的协同效应。</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音视频制作》作为新闻专业、广告专业的学科共同课。同时，根据《中国网络版权产业发展报告（2020）》报告显示，中国移动网民每日超过四分之一的时间在使用短视频应用，短视频已成为图文和语音之外的移动互联网“第三语言”。因此，在这个万物互联、思想多元的时代，作为中国特色社会主义高校，如何主动运用新媒体平台来传播主流文化和社会主义核心价值观，让短视频也发挥出“立德树人”的作用，不断推动传统媒体和新媒体的融合，从而达到协同育人的效果，这将是本课题研究的主要目的所在。</w:t>
      </w:r>
    </w:p>
    <w:p>
      <w:pPr>
        <w:numPr>
          <w:ilvl w:val="0"/>
          <w:numId w:val="1"/>
        </w:numPr>
        <w:jc w:val="left"/>
        <w:rPr>
          <w:rFonts w:hint="eastAsia"/>
          <w:sz w:val="32"/>
          <w:szCs w:val="32"/>
        </w:rPr>
      </w:pPr>
      <w:r>
        <w:rPr>
          <w:rFonts w:hint="eastAsia"/>
          <w:sz w:val="32"/>
          <w:szCs w:val="32"/>
        </w:rPr>
        <w:t>研究目标、任务和主要思路</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（一）研究目标</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通过本项目实施，探讨作为新闻传播学学科共同课的《音视频制作》课程思政建设的重要意义、主要内容、方式方法，以及效果评估等问题，从而探索</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四维三链一体</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教学模式的新路径。同时，通过课程育人实现以下三个目标：</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加强学生马克思主义新闻观。以</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理论—案例—实操</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三线联动，通过在课堂中分析探讨音视频制作原理和短视频案例中蕴含的思政元素，引导学生如何有效利用新媒体技术，掌握新媒体时代的发展规律，教会学生如何甄别网络信息，不断提升学生的新媒介素养，培养学生的媒介传播把关能力，运用场景+内容+新媒体平台的方式传播主流文化和核心价值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提升学生专业知识的应用能力。教师的课堂讲授可以充分利用融媒体工作室、摄影实验室等教学平台，通过运用情景式教学方式，激发学生的创意创新意识。在课下，学生也可充分利用融媒体工作室进行项目分组，为校内新媒体平台、学科竞赛、行业比赛制作短视频+内容 IP 文案，培养学生新媒体技术应用的同时，也可培养学生的分析、辨别和解决问题的能力，以适合新时代对专业人才的要求。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促进专业知识教学与价值塑造的交融。根据课程的实际情况，积极构建四维立体的教学内容，即专业理论知识、视频案例赏析、软件实操训练以及项目实践应用。另外，在项目实践应用环节，充分利用校企合作媒体实践基地的企业导师资源，把行业最前沿的实践成果和先进分析方法传授给学生，这样在兼顾专业知识理论性、学术性、前沿性的同时，又全方面融入思政元素，从而增强了思想教育与专业教育的实效性。</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（二）研究任务</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1.如何将专业知识与思政元素有效融合，丰富《音视频制作》课程的教学内容，提升专业课程的教学效果、育人效果。</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2.如何构建科学合理的“四维三链一体”教学模式。</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3.如何推动《音视频制作》课程思政建设成果的应用与转化。</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（三）研究思路</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本项目根据《高等学校课程思政建设指导纲要》的要求，结合《音视频制作》课程特点，拟构建</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四维三链一体</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的课程思政教学模式。即基于</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四维</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立体的课程内容，深入挖掘潜在的思政元素，延伸并嵌入到相关鲜活案例中进行分析；接着通过</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三链</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融合的实施途径，促进专业知识教学与价值塑造的交融，最后采取</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一体</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多元的教学评价体系，实现政治信仰、专业素养与实践锻炼三者的辩证统一。</w:t>
      </w:r>
    </w:p>
    <w:p>
      <w:pPr>
        <w:pStyle w:val="2"/>
        <w:keepNext w:val="0"/>
        <w:keepLines w:val="0"/>
        <w:pageBreakBefore w:val="0"/>
        <w:widowControl w:val="0"/>
        <w:numPr>
          <w:numId w:val="0"/>
        </w:numPr>
        <w:kinsoku/>
        <w:wordWrap/>
        <w:overflowPunct/>
        <w:topLinePunct w:val="0"/>
        <w:autoSpaceDE/>
        <w:autoSpaceDN/>
        <w:bidi w:val="0"/>
        <w:adjustRightInd/>
        <w:snapToGrid/>
        <w:textAlignment w:val="auto"/>
        <w:rPr>
          <w:spacing w:val="-94"/>
        </w:rPr>
      </w:pPr>
      <w:r>
        <w:rPr>
          <w:spacing w:val="-94"/>
        </w:rPr>
        <w:object>
          <v:shape id="_x0000_i1025" o:spt="75" type="#_x0000_t75" style="height:234.65pt;width:387.1pt;" o:ole="t" filled="f" o:preferrelative="t" stroked="f" coordsize="21600,21600">
            <v:path/>
            <v:fill on="f" focussize="0,0"/>
            <v:stroke on="f"/>
            <v:imagedata r:id="rId5" o:title=""/>
            <o:lock v:ext="edit" aspectratio="f"/>
            <w10:wrap type="none"/>
            <w10:anchorlock/>
          </v:shape>
          <o:OLEObject Type="Embed" ProgID="Visio.Drawing.15" ShapeID="_x0000_i1025" DrawAspect="Content" ObjectID="_1468075725" r:id="rId4">
            <o:LockedField>false</o:LockedField>
          </o:OLEObject>
        </w:object>
      </w: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cs="宋体"/>
          <w:lang w:val="en-US" w:eastAsia="zh-CN"/>
        </w:rPr>
      </w:pPr>
      <w:r>
        <w:rPr>
          <w:rFonts w:hint="eastAsia" w:ascii="宋体" w:hAnsi="宋体" w:cs="宋体"/>
          <w:lang w:val="en-US" w:eastAsia="zh-CN"/>
        </w:rPr>
        <w:t>图1  “四维三链一体”教学模式的总体思路</w:t>
      </w:r>
    </w:p>
    <w:p>
      <w:pPr>
        <w:numPr>
          <w:ilvl w:val="0"/>
          <w:numId w:val="1"/>
        </w:numPr>
        <w:jc w:val="left"/>
        <w:rPr>
          <w:rFonts w:hint="eastAsia"/>
          <w:sz w:val="32"/>
          <w:szCs w:val="32"/>
        </w:rPr>
      </w:pPr>
      <w:r>
        <w:rPr>
          <w:rFonts w:hint="eastAsia"/>
          <w:sz w:val="32"/>
          <w:szCs w:val="32"/>
        </w:rPr>
        <w:t>主要工作举措</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本项目主要从以下三个方面展开。</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“四维”立体的课程内容</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①专业理论知识学习。理论知识学习容易出现专业课程知识和思政理论的教学“两张皮”的问题，两者理论结合生硬，教学效果欠佳。课题组成员计划以文化育人+情景化场景作为切入点，在兼顾专业知识理论性、学术性与前沿性的同时，在不同的情景化场景中加入中华传统优秀文化、红色革命文化、社会主义核心价值观等思政元素。②视频案例赏析。通过建立视频案例库，以案例赏析为切入点，营造情境式的学习氛围，较大程度调动学生的学习积极性，让学生更好地将理论知识与实践运用二者有机结合起来。在课程思政教学过程中，案例筛选是关键一环。案例选择的标准可从三点衡量，即音视频类型、时事热点以及文化创意。③软件实操。音视频制作是一门计算机技术与文学素养相融合的课程。课题组成员将增加软件实操课时，注重学生动手能力的培养，利用融媒体实验室的技术平台，采取项目驱动的实践教学方法，帮助学生理解和掌握影视镜头剪辑的句法、章法和技法，从而既为学生熟练剪辑各类影视作品、制作内容上乘的短视频奠定基石，又为项目实践中解决企业现实问题打好基础。软件实操内容包括：蒙太奇剪辑技巧、特效、字幕、配音和 PR 软件、AE 软件的运用。④实践应用。音视频制作是一门偏向实践应用的课程，需为学生多方提供实践锻炼的平台和机会促进其今后职业生涯的持续发展。实践应用的途径主要包括新媒体平台的社会实践、传媒产业与行业协会组织的竞赛、各类短视频比赛三大类。实践活动的主题注重融入“文化育人”理念，充分展现主流价值意识形态，强调作品原创，体现创新意识。同时多以团体形式组队完成实践项目，这样有利于学生之间的头脑风暴，进行思想交流与观点碰撞，从而达到灵活运用音视频制作的原理与技巧的效果。</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“三链”融合的实施途径</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①面授课堂吸引链主要以“理论—案例—实操”三线联动，力求强化学生的主体身份，提升学生的课程参与度，以学生为中心设计教学内容，秉承因材施教的原则，多采用翻转课堂+PAD 课堂的形式，学生通过课前预习教材和搜集学习其他相关的教学资源，学习成果在课堂上展示、交流，教师在教学过程中积极引导和启发，学生从被动接受知识转变为主动吸收知识，从而达到交互式、情景式、沉浸式的学习效果。②实践课堂强化链是大学生拓展自己实践能力和综合素质的重要平台，也是高校开展实践锻炼的基地。具体而言，一是以校园学生自媒体平台、融媒体实验室为模拟演练场；二是以社团赛事、公益赛事、校外赛事、专业学科赛事等形式为竞技训练场；三是以校企合作媒体实践基地为项目实战地。通过有计划、有步骤地开展，逐步激发学生的聪明才智与创新创业精神，进一步提高学生的实践运用能力，将书本文化知识内化于行动、外化于成果之中。③网络课堂补给链是在教师讲课资源基础上的有效补充。本课题成员组通过搜集、刷选、整理网络教学资源并上传至网络平台，为学生音视频制作课提供高质量的、系统的、完备的视频音频等学习资料，方便学生课外进行自主学习，并要求项目组在讨论课程环节分享网络学习心得，让该课程能适应不同层次、不同水平学习者的个性化学习需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3.“一体”多元的教学评价</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①课程考核方式的改革。为了实现理论指导和实践锻炼辩证统一的“一体化”教学效果，本课题组将从三个方面进行考核：一是政治信仰提升程度；二是专业理论知识掌握深度；三是实践能力提高幅度。具体内容包含以下要素：小组成员课堂表现、小组结课报告(3-5 分钟的创意短视频)、小组阶段讨论纪要、小组成员互评、指导教师评价、实习基地校外导师评价。其中创意短视频采用“主题呈现”、“特效运用”、“原创程度”、“社会价值”四个指标衡量进行打分。②教学评价多元化。建立科学合理的多元评价机制，不仅激励教师积极提升自己的教学能力，而且对课程育人成效起着直接的导向作用。具体包括组织学生座谈会听取教学反馈、智能终端学生匿名评教、教学督导听课评教以及问卷调查评价四个环节。其中通过问卷调查的方式了解学生对于课程思政教学模式的看法，同时也需要根据校企合作平台的校外导师的反馈，进一步调整教学策略，完善教学模式，尤其需要加强与校外的联系展开课程实践活动，为学生的课程实践活动提供更有效的情境实习场所。</w:t>
      </w:r>
    </w:p>
    <w:p>
      <w:pPr>
        <w:numPr>
          <w:ilvl w:val="0"/>
          <w:numId w:val="1"/>
        </w:numPr>
        <w:jc w:val="left"/>
        <w:rPr>
          <w:rFonts w:hint="eastAsia"/>
          <w:sz w:val="32"/>
          <w:szCs w:val="32"/>
        </w:rPr>
      </w:pPr>
      <w:r>
        <w:rPr>
          <w:rFonts w:hint="eastAsia"/>
          <w:sz w:val="32"/>
          <w:szCs w:val="32"/>
        </w:rPr>
        <w:t>取得的工作成效</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（一）研究成果较为丰富，理论研究与实践运用素材兼有。</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1.进一步完善《音视频制作》课程的教学大纲、PPT 课件，将五类音视频案例（百科知识类\生活日常类\乡村振兴类\职场剧情类\原创内容类）融入到课堂教学之中。</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2.制作《音视频制作》案例库（已保存结题报告的专用 U 盘中，其中包括 4 个原创短视频，且 1 个短视频获得校级优秀视频奖）。</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3.主持人和课题组成员在中国知网等公开网站上发表省级以上期刊论文一共 9 篇。其中，主持人以第一作者身份发表 2 篇，以合著身份发表 6 篇。</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4.指导学生 4 个项目参加相关学科、专业竞赛，并获得校级以上奖励。其中，指导学生参加 2023 年“米兰设计周”中国高校设计学科师生优秀作品展（视频类），获得湖南分赛区一等奖。</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5.积极主动联系相关企业，创建了 12 个校外实习、实训基地。即马栏山（长沙）视频文创园管理委员会、湖南红网新媒体集团有限公司、长沙晚报社、人民网湖南分公司、中广天择传媒股份有限公司、北京立荣国际文化传媒有限责任公司、北京乐正文化传播有限公司、湖南兵力文化传媒有限公司、湖南广播电视台广播传媒中心音乐事业部、广州娄文广告有限公司、湖南顺风传媒有限公司、湘江早报社。</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6.指导学生参与交叉学科研究，将音视频作品嵌入到微信小程序、APP 等数智化系统中，并获得 4 个知识产权证书。具体如下：</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（1）第四发明人.外观设计专利.手机旅游介绍的图形用户界面（游享家 APP）. 专利号:2022301826495</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（2）第二著作人.软件著作权.游享家 APP(IOS)V1.0 .软著登字第7183859号</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（3）第三著作人.美术著作权.游享家美术作品 .国作登字-2022-F-10144069</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（4）第一著作人.软件著作权.“谦熙”污水治理微信小程序软件.软著登字第3511195747号</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（二）项目成果的社会影响逐步彰显。</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研究成果的被引用和采纳主要体现在以下三个方面：</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一是在本院有效应用。研究成果的理念及策略对于湖南工商大学《音视频制作》课程小组进一步加强相关政策的制订、管理机制的运行以及教学改革的深入均产生了重要的指导作用。</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是获得兄弟院校的认同。近几年来，湖南省内诸多兄弟均就创业型、创新型、应用型人才培养方面的工作来我校进行专题考察，其中课程建设作为教学建设、专业建设的重要内容，也多次与来访的客人交流，介绍我校的主要做法和经验，课题的研究成果对于部分高校课程教学改革建设产生了积极影响。其中，《“新工科+新商科”引领数智型管理人才培养供给侧改革的探索与实践》获国家教学成果二等奖。</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三是项目成果得以在各类杂志发表。通过中国知网检索，课题成果曾多次被下载、引用。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1464"/>
        <w:gridCol w:w="1362"/>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top"/>
              <w:rPr>
                <w:sz w:val="24"/>
                <w:szCs w:val="24"/>
              </w:rPr>
            </w:pPr>
            <w:r>
              <w:rPr>
                <w:rFonts w:hint="eastAsia"/>
                <w:b/>
                <w:bCs/>
                <w:color w:val="000000"/>
                <w:kern w:val="0"/>
                <w:sz w:val="24"/>
                <w:szCs w:val="24"/>
                <w:lang w:eastAsia="zh-CN" w:bidi="ar"/>
              </w:rPr>
              <w:t>研究</w:t>
            </w:r>
            <w:r>
              <w:rPr>
                <w:b/>
                <w:bCs/>
                <w:color w:val="000000"/>
                <w:kern w:val="0"/>
                <w:sz w:val="24"/>
                <w:szCs w:val="24"/>
                <w:lang w:bidi="ar"/>
              </w:rPr>
              <w:t>成果</w:t>
            </w:r>
          </w:p>
        </w:tc>
        <w:tc>
          <w:tcPr>
            <w:tcW w:w="148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top"/>
              <w:rPr>
                <w:sz w:val="24"/>
                <w:szCs w:val="24"/>
              </w:rPr>
            </w:pPr>
            <w:r>
              <w:rPr>
                <w:b/>
                <w:bCs/>
                <w:color w:val="000000"/>
                <w:kern w:val="0"/>
                <w:sz w:val="24"/>
                <w:szCs w:val="24"/>
                <w:lang w:bidi="ar"/>
              </w:rPr>
              <w:t>成果形式</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top"/>
              <w:rPr>
                <w:sz w:val="24"/>
                <w:szCs w:val="24"/>
              </w:rPr>
            </w:pPr>
            <w:r>
              <w:rPr>
                <w:b/>
                <w:bCs/>
                <w:color w:val="000000"/>
                <w:kern w:val="0"/>
                <w:sz w:val="24"/>
                <w:szCs w:val="24"/>
                <w:lang w:bidi="ar"/>
              </w:rPr>
              <w:t>实施范围</w:t>
            </w:r>
          </w:p>
        </w:tc>
        <w:tc>
          <w:tcPr>
            <w:tcW w:w="27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top"/>
              <w:rPr>
                <w:sz w:val="24"/>
                <w:szCs w:val="24"/>
              </w:rPr>
            </w:pPr>
            <w:r>
              <w:rPr>
                <w:b/>
                <w:bCs/>
                <w:color w:val="000000"/>
                <w:kern w:val="0"/>
                <w:sz w:val="24"/>
                <w:szCs w:val="24"/>
                <w:lang w:bidi="ar"/>
              </w:rPr>
              <w:t>成果转化效果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《音视频制作》教学内容、教案、PPT课件</w:t>
            </w:r>
          </w:p>
        </w:tc>
        <w:tc>
          <w:tcPr>
            <w:tcW w:w="148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教学大纲、教案、PPT课件</w:t>
            </w:r>
          </w:p>
        </w:tc>
        <w:tc>
          <w:tcPr>
            <w:tcW w:w="138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新闻传播类、中文类学生</w:t>
            </w:r>
          </w:p>
        </w:tc>
        <w:tc>
          <w:tcPr>
            <w:tcW w:w="273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受益学生数1500以上。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《音视频制作》案例库</w:t>
            </w:r>
          </w:p>
        </w:tc>
        <w:tc>
          <w:tcPr>
            <w:tcW w:w="148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创建优质短视频案例库</w:t>
            </w:r>
          </w:p>
        </w:tc>
        <w:tc>
          <w:tcPr>
            <w:tcW w:w="138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新闻传播类、中文类学生</w:t>
            </w:r>
          </w:p>
        </w:tc>
        <w:tc>
          <w:tcPr>
            <w:tcW w:w="273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受益学生数1000以上，可与课堂教学、实践教学配套使用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keepNext w:val="0"/>
              <w:keepLines w:val="0"/>
              <w:pageBreakBefore w:val="0"/>
              <w:kinsoku/>
              <w:wordWrap/>
              <w:overflowPunct/>
              <w:topLinePunct w:val="0"/>
              <w:autoSpaceDE/>
              <w:autoSpaceDN/>
              <w:bidi w:val="0"/>
              <w:adjustRightInd/>
              <w:snapToGrid/>
              <w:spacing w:line="440" w:lineRule="exact"/>
              <w:rPr>
                <w:sz w:val="24"/>
                <w:szCs w:val="24"/>
              </w:rPr>
            </w:pPr>
            <w:r>
              <w:rPr>
                <w:sz w:val="24"/>
                <w:szCs w:val="24"/>
              </w:rPr>
              <w:t>创建德育实践、专业见习融合基地</w:t>
            </w:r>
          </w:p>
        </w:tc>
        <w:tc>
          <w:tcPr>
            <w:tcW w:w="148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rFonts w:hint="eastAsia"/>
                <w:sz w:val="24"/>
                <w:szCs w:val="24"/>
                <w:lang w:val="en-US" w:eastAsia="zh-CN"/>
              </w:rPr>
              <w:t>12</w:t>
            </w:r>
            <w:r>
              <w:rPr>
                <w:sz w:val="24"/>
                <w:szCs w:val="24"/>
              </w:rPr>
              <w:t>个</w:t>
            </w:r>
          </w:p>
        </w:tc>
        <w:tc>
          <w:tcPr>
            <w:tcW w:w="138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全校学生</w:t>
            </w:r>
          </w:p>
        </w:tc>
        <w:tc>
          <w:tcPr>
            <w:tcW w:w="273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受益学生数</w:t>
            </w:r>
            <w:r>
              <w:rPr>
                <w:rFonts w:hint="eastAsia"/>
                <w:sz w:val="24"/>
                <w:szCs w:val="24"/>
                <w:lang w:val="en-US" w:eastAsia="zh-CN"/>
              </w:rPr>
              <w:t>3</w:t>
            </w:r>
            <w:r>
              <w:rPr>
                <w:sz w:val="24"/>
                <w:szCs w:val="24"/>
              </w:rPr>
              <w:t>000以上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keepNext w:val="0"/>
              <w:keepLines w:val="0"/>
              <w:pageBreakBefore w:val="0"/>
              <w:kinsoku/>
              <w:wordWrap/>
              <w:overflowPunct/>
              <w:topLinePunct w:val="0"/>
              <w:autoSpaceDE/>
              <w:autoSpaceDN/>
              <w:bidi w:val="0"/>
              <w:adjustRightInd/>
              <w:snapToGrid/>
              <w:spacing w:line="440" w:lineRule="exact"/>
              <w:rPr>
                <w:sz w:val="24"/>
                <w:szCs w:val="24"/>
              </w:rPr>
            </w:pPr>
            <w:r>
              <w:rPr>
                <w:sz w:val="24"/>
                <w:szCs w:val="24"/>
              </w:rPr>
              <w:t>指导学生参加学科、专业竞赛</w:t>
            </w:r>
          </w:p>
        </w:tc>
        <w:tc>
          <w:tcPr>
            <w:tcW w:w="148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获奖</w:t>
            </w:r>
            <w:r>
              <w:rPr>
                <w:rFonts w:hint="eastAsia"/>
                <w:sz w:val="24"/>
                <w:szCs w:val="24"/>
                <w:lang w:val="en-US" w:eastAsia="zh-CN"/>
              </w:rPr>
              <w:t>4</w:t>
            </w:r>
            <w:r>
              <w:rPr>
                <w:sz w:val="24"/>
                <w:szCs w:val="24"/>
              </w:rPr>
              <w:t>项</w:t>
            </w:r>
          </w:p>
        </w:tc>
        <w:tc>
          <w:tcPr>
            <w:tcW w:w="138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全校学生</w:t>
            </w:r>
          </w:p>
        </w:tc>
        <w:tc>
          <w:tcPr>
            <w:tcW w:w="273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受益学生数800以上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keepNext w:val="0"/>
              <w:keepLines w:val="0"/>
              <w:pageBreakBefore w:val="0"/>
              <w:kinsoku/>
              <w:wordWrap/>
              <w:overflowPunct/>
              <w:topLinePunct w:val="0"/>
              <w:autoSpaceDE/>
              <w:autoSpaceDN/>
              <w:bidi w:val="0"/>
              <w:adjustRightInd/>
              <w:snapToGrid/>
              <w:spacing w:line="440" w:lineRule="exact"/>
              <w:rPr>
                <w:sz w:val="24"/>
                <w:szCs w:val="24"/>
              </w:rPr>
            </w:pPr>
            <w:r>
              <w:rPr>
                <w:sz w:val="24"/>
                <w:szCs w:val="24"/>
              </w:rPr>
              <w:t>公开发表教学改革研究论文</w:t>
            </w:r>
          </w:p>
        </w:tc>
        <w:tc>
          <w:tcPr>
            <w:tcW w:w="148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论文</w:t>
            </w:r>
            <w:r>
              <w:rPr>
                <w:rFonts w:hint="eastAsia"/>
                <w:sz w:val="24"/>
                <w:szCs w:val="24"/>
                <w:lang w:val="en-US" w:eastAsia="zh-CN"/>
              </w:rPr>
              <w:t>4</w:t>
            </w:r>
            <w:r>
              <w:rPr>
                <w:sz w:val="24"/>
                <w:szCs w:val="24"/>
              </w:rPr>
              <w:t>篇</w:t>
            </w:r>
          </w:p>
        </w:tc>
        <w:tc>
          <w:tcPr>
            <w:tcW w:w="138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eastAsia="宋体"/>
                <w:sz w:val="24"/>
                <w:szCs w:val="24"/>
                <w:lang w:eastAsia="zh-CN"/>
              </w:rPr>
            </w:pPr>
            <w:r>
              <w:rPr>
                <w:rFonts w:hint="eastAsia"/>
                <w:sz w:val="24"/>
                <w:szCs w:val="24"/>
                <w:lang w:eastAsia="zh-CN"/>
              </w:rPr>
              <w:t>学术平台</w:t>
            </w:r>
          </w:p>
        </w:tc>
        <w:tc>
          <w:tcPr>
            <w:tcW w:w="273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eastAsia="宋体"/>
                <w:sz w:val="24"/>
                <w:szCs w:val="24"/>
                <w:lang w:val="en-US" w:eastAsia="zh-CN"/>
              </w:rPr>
            </w:pPr>
            <w:r>
              <w:rPr>
                <w:rFonts w:hint="eastAsia"/>
                <w:sz w:val="24"/>
                <w:szCs w:val="24"/>
                <w:lang w:eastAsia="zh-CN"/>
              </w:rPr>
              <w:t>受益人群</w:t>
            </w:r>
            <w:r>
              <w:rPr>
                <w:rFonts w:hint="eastAsia"/>
                <w:sz w:val="24"/>
                <w:szCs w:val="24"/>
                <w:lang w:val="en-US" w:eastAsia="zh-CN"/>
              </w:rPr>
              <w:t>1000人以上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keepNext w:val="0"/>
              <w:keepLines w:val="0"/>
              <w:pageBreakBefore w:val="0"/>
              <w:kinsoku/>
              <w:wordWrap/>
              <w:overflowPunct/>
              <w:topLinePunct w:val="0"/>
              <w:autoSpaceDE/>
              <w:autoSpaceDN/>
              <w:bidi w:val="0"/>
              <w:adjustRightInd/>
              <w:snapToGrid/>
              <w:spacing w:line="440" w:lineRule="exact"/>
              <w:rPr>
                <w:sz w:val="24"/>
                <w:szCs w:val="24"/>
              </w:rPr>
            </w:pPr>
            <w:r>
              <w:rPr>
                <w:sz w:val="24"/>
                <w:szCs w:val="24"/>
              </w:rPr>
              <w:t>课程思政视阈下</w:t>
            </w:r>
            <w:r>
              <w:rPr>
                <w:rFonts w:hint="eastAsia"/>
                <w:sz w:val="24"/>
                <w:szCs w:val="24"/>
                <w:lang w:eastAsia="zh-CN"/>
              </w:rPr>
              <w:t>“</w:t>
            </w:r>
            <w:r>
              <w:rPr>
                <w:sz w:val="24"/>
                <w:szCs w:val="24"/>
              </w:rPr>
              <w:t>四维三</w:t>
            </w:r>
            <w:r>
              <w:rPr>
                <w:rFonts w:hint="eastAsia"/>
                <w:sz w:val="24"/>
                <w:szCs w:val="24"/>
                <w:lang w:eastAsia="zh-CN"/>
              </w:rPr>
              <w:t>链</w:t>
            </w:r>
            <w:r>
              <w:rPr>
                <w:sz w:val="24"/>
                <w:szCs w:val="24"/>
              </w:rPr>
              <w:t>一体</w:t>
            </w:r>
            <w:r>
              <w:rPr>
                <w:rFonts w:hint="eastAsia"/>
                <w:sz w:val="24"/>
                <w:szCs w:val="24"/>
                <w:lang w:eastAsia="zh-CN"/>
              </w:rPr>
              <w:t>”</w:t>
            </w:r>
            <w:r>
              <w:rPr>
                <w:sz w:val="24"/>
                <w:szCs w:val="24"/>
              </w:rPr>
              <w:t>教学模式研究——以音视频制作课为例的研究报告</w:t>
            </w:r>
          </w:p>
        </w:tc>
        <w:tc>
          <w:tcPr>
            <w:tcW w:w="148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研究报告</w:t>
            </w:r>
          </w:p>
        </w:tc>
        <w:tc>
          <w:tcPr>
            <w:tcW w:w="1380"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480" w:firstLineChars="200"/>
              <w:jc w:val="center"/>
              <w:rPr>
                <w:sz w:val="24"/>
                <w:szCs w:val="24"/>
              </w:rPr>
            </w:pPr>
          </w:p>
        </w:tc>
        <w:tc>
          <w:tcPr>
            <w:tcW w:w="273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rPr>
                <w:sz w:val="24"/>
                <w:szCs w:val="24"/>
              </w:rPr>
            </w:pPr>
            <w:r>
              <w:rPr>
                <w:sz w:val="24"/>
                <w:szCs w:val="24"/>
              </w:rPr>
              <w:t>全校学生受益。一是为其它课程的教学改革提供参考。二是为学校制定课程育人体系提供依据和参考。</w:t>
            </w:r>
          </w:p>
        </w:tc>
      </w:tr>
    </w:tbl>
    <w:p>
      <w:pPr>
        <w:pStyle w:val="2"/>
        <w:rPr>
          <w:rFonts w:hint="eastAsia"/>
          <w:lang w:eastAsia="zh-CN"/>
        </w:rPr>
      </w:pPr>
    </w:p>
    <w:p>
      <w:pPr>
        <w:numPr>
          <w:ilvl w:val="0"/>
          <w:numId w:val="1"/>
        </w:numPr>
        <w:jc w:val="left"/>
        <w:rPr>
          <w:rFonts w:hint="eastAsia"/>
          <w:sz w:val="32"/>
          <w:szCs w:val="32"/>
        </w:rPr>
      </w:pPr>
      <w:r>
        <w:rPr>
          <w:rFonts w:hint="eastAsia"/>
          <w:sz w:val="32"/>
          <w:szCs w:val="32"/>
        </w:rPr>
        <w:t>特色和创新点</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（一）项目特色</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项目成果丰富，学科融合度高。一是课题组成员先后主持4项省级教研教改课题、多项省级科研项目。先后公开发表了《课程思政视阈下音视频制作课教学模式研究》、《赛教融合视阈下本科专业课程设计教学改革——以地方商科院校为例》、《生态系统视角下新闻传播人才培养模式研究》、《高校农林经济管理专业实践教学改革思路探讨》、《研究生&lt;计量经济学&gt;课程思政教学改革探讨》5篇教研教改论文，研究发现，专业课程教学中存在课程实践的内容与形式单一、学生的艺术素养还有待提高、学生的学习主动性不足、赛教融合度不高等问题。鉴于此，本课题将从</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四维三链一体</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的多维角度切实推进课程思政教学改革，协调人才需求与供给之间的矛盾，强化专业实践能力的培养，完善学科竞赛管理制度和现行评价体系，发挥课程思政在人才培养体系中的作用。二是完善了《音视频制作课》课程教学评价体系。三是指导学生参与交叉学科研究，将音视频作品嵌入到微信小程序、APP等数智化系统中，并获得4个知识产权证书。这些成果有利于将音视频作品运用到各个场景，发挥了学科融合的优势，扩大了课程教学的应用范围。</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成果受益面广，推广力度较强。一是指导学生4个项目参加相关学科、专业竞赛，并获得校级以上奖励。其中，指导学生参加2023年</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米兰设计周</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中国高校设计学科师生优秀作品展（视频类），获得湖南分赛区一等奖。二是从五个维度建立了《音视频制作》案例库其中，包括4个原创短视频，且1个短视频获得校级优秀视频奖。三是课题组成员积极主动联系相关企业，建立了12个校外实习、实训基地。通过以上途径的推广，受益学生数 3000 以上。此外，其相关成果得到了湖南财政经济学院、广西财经学院等兄弟院校的认可和应用。</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（二）项目创新点</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这些成果</w:t>
      </w:r>
      <w:r>
        <w:rPr>
          <w:rFonts w:hint="eastAsia" w:ascii="Times New Roman" w:hAnsi="Times New Roman" w:cs="Times New Roman"/>
          <w:sz w:val="24"/>
          <w:szCs w:val="24"/>
          <w:lang w:val="en-US" w:eastAsia="zh-CN"/>
        </w:rPr>
        <w:t>不仅仅局限于理论研究，还注重实践性、应用性。比如，</w:t>
      </w:r>
      <w:r>
        <w:rPr>
          <w:rFonts w:hint="default" w:ascii="Times New Roman" w:hAnsi="Times New Roman" w:cs="Times New Roman"/>
          <w:sz w:val="24"/>
          <w:szCs w:val="24"/>
          <w:lang w:val="en-US" w:eastAsia="zh-CN"/>
        </w:rPr>
        <w:t>建立了《音视频制作》</w:t>
      </w:r>
      <w:r>
        <w:rPr>
          <w:rFonts w:hint="eastAsia" w:ascii="Times New Roman" w:hAnsi="Times New Roman" w:cs="Times New Roman"/>
          <w:sz w:val="24"/>
          <w:szCs w:val="24"/>
          <w:lang w:val="en-US" w:eastAsia="zh-CN"/>
        </w:rPr>
        <w:t>课程的视频</w:t>
      </w:r>
      <w:r>
        <w:rPr>
          <w:rFonts w:hint="default" w:ascii="Times New Roman" w:hAnsi="Times New Roman" w:cs="Times New Roman"/>
          <w:sz w:val="24"/>
          <w:szCs w:val="24"/>
          <w:lang w:val="en-US" w:eastAsia="zh-CN"/>
        </w:rPr>
        <w:t>案例库</w:t>
      </w:r>
      <w:r>
        <w:rPr>
          <w:rFonts w:hint="eastAsia" w:ascii="Times New Roman" w:hAnsi="Times New Roman" w:cs="Times New Roman"/>
          <w:sz w:val="24"/>
          <w:szCs w:val="24"/>
          <w:lang w:val="en-US" w:eastAsia="zh-CN"/>
        </w:rPr>
        <w:t>。这</w:t>
      </w:r>
      <w:r>
        <w:rPr>
          <w:rFonts w:hint="default" w:ascii="Times New Roman" w:hAnsi="Times New Roman" w:cs="Times New Roman"/>
          <w:sz w:val="24"/>
          <w:szCs w:val="24"/>
          <w:lang w:val="en-US" w:eastAsia="zh-CN"/>
        </w:rPr>
        <w:t>有利于丰富课程思政视域下专业课程的实操内容，提高课堂教学与实践教学的融合度与吸引力，提升专业人才的综合素质。</w:t>
      </w:r>
      <w:r>
        <w:rPr>
          <w:rFonts w:hint="eastAsia" w:ascii="Times New Roman" w:hAnsi="Times New Roman" w:cs="Times New Roman"/>
          <w:sz w:val="24"/>
          <w:szCs w:val="24"/>
          <w:lang w:val="en-US" w:eastAsia="zh-CN"/>
        </w:rPr>
        <w:t>与此同时，</w:t>
      </w:r>
      <w:r>
        <w:rPr>
          <w:rFonts w:hint="default" w:ascii="Times New Roman" w:hAnsi="Times New Roman" w:cs="Times New Roman"/>
          <w:sz w:val="24"/>
          <w:szCs w:val="24"/>
          <w:lang w:val="en-US" w:eastAsia="zh-CN"/>
        </w:rPr>
        <w:t>建立了12个校外实习、实训基地</w:t>
      </w:r>
      <w:r>
        <w:rPr>
          <w:rFonts w:hint="eastAsia" w:ascii="Times New Roman" w:hAnsi="Times New Roman" w:cs="Times New Roman"/>
          <w:sz w:val="24"/>
          <w:szCs w:val="24"/>
          <w:lang w:val="en-US" w:eastAsia="zh-CN"/>
        </w:rPr>
        <w:t>。这有利于学生将所学知识应用到工作实践当中，形成了理论—实践—理论的良好循环，实现了创新型、复合型人才培养目标。</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这些成果具有多学科交叉融合的特点。本项目以音视频制作课程为研究对象，注重将计算机科学、文化传播、产业经济、社会学研究等多学科知识融合创新，并在大学生创新创业训练项目、相关学科竞赛中得到了综合运用，从而有效地提升</w:t>
      </w:r>
      <w:bookmarkStart w:id="0" w:name="_GoBack"/>
      <w:bookmarkEnd w:id="0"/>
      <w:r>
        <w:rPr>
          <w:rFonts w:hint="eastAsia" w:ascii="Times New Roman" w:hAnsi="Times New Roman" w:cs="Times New Roman"/>
          <w:sz w:val="24"/>
          <w:szCs w:val="24"/>
          <w:lang w:val="en-US" w:eastAsia="zh-CN"/>
        </w:rPr>
        <w:t>了学生的就业竞争力。</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这些成果紧密与学科竞赛、三下乡社会实践活动相联系。项目组成员切实践行以赛促学、以赛促教、以赛促就的宗旨，全面引导学生将学业生涯规划、个人职业发展与国家发展需求紧密结合，达到学以致用、知行合一的效果。</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Times New Roman" w:hAnsi="Times New Roman" w:cs="Times New Roman"/>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FA1E3"/>
    <w:multiLevelType w:val="singleLevel"/>
    <w:tmpl w:val="F59FA1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OWVlNjA5MmRlMmZjNDc0OWY1ZmUzOTg0ZjY3ZjcifQ=="/>
  </w:docVars>
  <w:rsids>
    <w:rsidRoot w:val="004C5C68"/>
    <w:rsid w:val="00265499"/>
    <w:rsid w:val="004C5C68"/>
    <w:rsid w:val="005F0E1A"/>
    <w:rsid w:val="00766819"/>
    <w:rsid w:val="00807C76"/>
    <w:rsid w:val="00B55EC7"/>
    <w:rsid w:val="00D9197D"/>
    <w:rsid w:val="00E87904"/>
    <w:rsid w:val="00FE4037"/>
    <w:rsid w:val="01001B5E"/>
    <w:rsid w:val="01874B04"/>
    <w:rsid w:val="019B53E2"/>
    <w:rsid w:val="01CE1F65"/>
    <w:rsid w:val="02AD361F"/>
    <w:rsid w:val="03BA0D49"/>
    <w:rsid w:val="04A722F0"/>
    <w:rsid w:val="04E43544"/>
    <w:rsid w:val="051C683A"/>
    <w:rsid w:val="051F457C"/>
    <w:rsid w:val="092403B3"/>
    <w:rsid w:val="092C1016"/>
    <w:rsid w:val="093323A4"/>
    <w:rsid w:val="09BE25B6"/>
    <w:rsid w:val="0A322311"/>
    <w:rsid w:val="0AC8250E"/>
    <w:rsid w:val="0AF25E00"/>
    <w:rsid w:val="0C633167"/>
    <w:rsid w:val="0C6406E8"/>
    <w:rsid w:val="0D417786"/>
    <w:rsid w:val="0D6945E7"/>
    <w:rsid w:val="0E2D3866"/>
    <w:rsid w:val="0F261423"/>
    <w:rsid w:val="0F5D6CE1"/>
    <w:rsid w:val="10E36DA6"/>
    <w:rsid w:val="12655CC4"/>
    <w:rsid w:val="128E689D"/>
    <w:rsid w:val="14005579"/>
    <w:rsid w:val="148A7C64"/>
    <w:rsid w:val="15284D87"/>
    <w:rsid w:val="1557566D"/>
    <w:rsid w:val="1609105D"/>
    <w:rsid w:val="16361310"/>
    <w:rsid w:val="16730284"/>
    <w:rsid w:val="175E7186"/>
    <w:rsid w:val="17C074F9"/>
    <w:rsid w:val="1AB5530F"/>
    <w:rsid w:val="1B8D3B96"/>
    <w:rsid w:val="1BC53330"/>
    <w:rsid w:val="1C8E7BC6"/>
    <w:rsid w:val="1D3420C1"/>
    <w:rsid w:val="1D6E17A5"/>
    <w:rsid w:val="1DAD49C3"/>
    <w:rsid w:val="1DC15D79"/>
    <w:rsid w:val="1E5B61CE"/>
    <w:rsid w:val="1E5E09D7"/>
    <w:rsid w:val="1E8458D3"/>
    <w:rsid w:val="1EB37DB8"/>
    <w:rsid w:val="1FAD4D1B"/>
    <w:rsid w:val="1FC8786B"/>
    <w:rsid w:val="20142AD8"/>
    <w:rsid w:val="20286583"/>
    <w:rsid w:val="21CE6CB6"/>
    <w:rsid w:val="21D20555"/>
    <w:rsid w:val="221B63A0"/>
    <w:rsid w:val="22A72A75"/>
    <w:rsid w:val="22B440FE"/>
    <w:rsid w:val="244F1E5F"/>
    <w:rsid w:val="265359DC"/>
    <w:rsid w:val="2668592C"/>
    <w:rsid w:val="26762094"/>
    <w:rsid w:val="26E01966"/>
    <w:rsid w:val="272E2D88"/>
    <w:rsid w:val="27860EB1"/>
    <w:rsid w:val="27907135"/>
    <w:rsid w:val="294879EE"/>
    <w:rsid w:val="29BA14F6"/>
    <w:rsid w:val="2A4F4390"/>
    <w:rsid w:val="2BA07916"/>
    <w:rsid w:val="2EE10029"/>
    <w:rsid w:val="2F2919D0"/>
    <w:rsid w:val="310224D9"/>
    <w:rsid w:val="31643B11"/>
    <w:rsid w:val="318A2BFA"/>
    <w:rsid w:val="319F5F79"/>
    <w:rsid w:val="335D0F17"/>
    <w:rsid w:val="33602DC2"/>
    <w:rsid w:val="350E3B42"/>
    <w:rsid w:val="35DC154A"/>
    <w:rsid w:val="36547A91"/>
    <w:rsid w:val="36603F29"/>
    <w:rsid w:val="36723C5D"/>
    <w:rsid w:val="368F66E1"/>
    <w:rsid w:val="370228F1"/>
    <w:rsid w:val="37DA5F5D"/>
    <w:rsid w:val="37E961A0"/>
    <w:rsid w:val="390F5759"/>
    <w:rsid w:val="39CE38A0"/>
    <w:rsid w:val="3A281A8A"/>
    <w:rsid w:val="3A647D60"/>
    <w:rsid w:val="3AC05B4E"/>
    <w:rsid w:val="3B235E91"/>
    <w:rsid w:val="3DB72FC9"/>
    <w:rsid w:val="3E5B608E"/>
    <w:rsid w:val="3F2A5A1C"/>
    <w:rsid w:val="3F6D76B7"/>
    <w:rsid w:val="3FA118A5"/>
    <w:rsid w:val="40692574"/>
    <w:rsid w:val="41B617E9"/>
    <w:rsid w:val="41BF069E"/>
    <w:rsid w:val="432307B8"/>
    <w:rsid w:val="4355293C"/>
    <w:rsid w:val="43E066A9"/>
    <w:rsid w:val="449D7091"/>
    <w:rsid w:val="463F1DAD"/>
    <w:rsid w:val="48783354"/>
    <w:rsid w:val="48A759E8"/>
    <w:rsid w:val="493059DD"/>
    <w:rsid w:val="498B5309"/>
    <w:rsid w:val="4AE9678B"/>
    <w:rsid w:val="4B9E1324"/>
    <w:rsid w:val="4BA12BC2"/>
    <w:rsid w:val="4CA50490"/>
    <w:rsid w:val="4D351056"/>
    <w:rsid w:val="4E726FF7"/>
    <w:rsid w:val="4EB42C0C"/>
    <w:rsid w:val="4F174AC6"/>
    <w:rsid w:val="4F744C7F"/>
    <w:rsid w:val="501E6ED7"/>
    <w:rsid w:val="51FF183A"/>
    <w:rsid w:val="5201085F"/>
    <w:rsid w:val="52F537F4"/>
    <w:rsid w:val="53670B95"/>
    <w:rsid w:val="553E76D4"/>
    <w:rsid w:val="56725887"/>
    <w:rsid w:val="56C9121F"/>
    <w:rsid w:val="572D17AE"/>
    <w:rsid w:val="58737694"/>
    <w:rsid w:val="5AE12FDB"/>
    <w:rsid w:val="5B8322E4"/>
    <w:rsid w:val="5D225EC0"/>
    <w:rsid w:val="5DBC7D30"/>
    <w:rsid w:val="5E7E6D93"/>
    <w:rsid w:val="6093324C"/>
    <w:rsid w:val="60F4333C"/>
    <w:rsid w:val="63B372CE"/>
    <w:rsid w:val="63D95197"/>
    <w:rsid w:val="642D103F"/>
    <w:rsid w:val="645667E8"/>
    <w:rsid w:val="645C7B76"/>
    <w:rsid w:val="654C3747"/>
    <w:rsid w:val="6A835E5D"/>
    <w:rsid w:val="6C134FBF"/>
    <w:rsid w:val="6CA34594"/>
    <w:rsid w:val="6EF74724"/>
    <w:rsid w:val="6F0532E4"/>
    <w:rsid w:val="6F06227F"/>
    <w:rsid w:val="6F6B6EC0"/>
    <w:rsid w:val="6FB46AB9"/>
    <w:rsid w:val="70512559"/>
    <w:rsid w:val="71325EE7"/>
    <w:rsid w:val="71494FDF"/>
    <w:rsid w:val="71CE2EB7"/>
    <w:rsid w:val="71E73175"/>
    <w:rsid w:val="723D0FE7"/>
    <w:rsid w:val="72E74AAF"/>
    <w:rsid w:val="732775A1"/>
    <w:rsid w:val="734D6A03"/>
    <w:rsid w:val="7375655F"/>
    <w:rsid w:val="747D1765"/>
    <w:rsid w:val="74FF07D6"/>
    <w:rsid w:val="75874327"/>
    <w:rsid w:val="7599002A"/>
    <w:rsid w:val="75A75295"/>
    <w:rsid w:val="75A82C1C"/>
    <w:rsid w:val="7662726E"/>
    <w:rsid w:val="76650B0D"/>
    <w:rsid w:val="7719675C"/>
    <w:rsid w:val="77955421"/>
    <w:rsid w:val="782B310E"/>
    <w:rsid w:val="78C37F93"/>
    <w:rsid w:val="79BE19BA"/>
    <w:rsid w:val="7A7B08FF"/>
    <w:rsid w:val="7AF16E13"/>
    <w:rsid w:val="7BB620F5"/>
    <w:rsid w:val="7BF22A63"/>
    <w:rsid w:val="7CF90201"/>
    <w:rsid w:val="7E026C41"/>
    <w:rsid w:val="7E156974"/>
    <w:rsid w:val="7E5020A2"/>
    <w:rsid w:val="7F402117"/>
    <w:rsid w:val="7F8D54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Words>
  <Characters>90</Characters>
  <Lines>1</Lines>
  <Paragraphs>1</Paragraphs>
  <TotalTime>0</TotalTime>
  <ScaleCrop>false</ScaleCrop>
  <LinksUpToDate>false</LinksUpToDate>
  <CharactersWithSpaces>90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2023-03-17T07:16:00Z</dcterms:created>
  <dc:creator>LENOVO</dc:creator>
  <cp:lastModifiedBy>楚jun</cp:lastModifiedBy>
  <dcterms:modified xsi:type="dcterms:W3CDTF">2024-03-16T15:56:59Z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DE68EFA0BBFB4DEBABC5FC53C6550208_13</vt:lpwstr>
  </property>
</Properties>
</file>